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78" w:rsidRPr="00311078" w:rsidRDefault="00311078" w:rsidP="00C71345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71345">
        <w:rPr>
          <w:lang w:val="ru-RU"/>
        </w:rPr>
        <w:tab/>
        <w:t>Утверждаю</w:t>
      </w:r>
    </w:p>
    <w:p w:rsidR="00C71345" w:rsidRDefault="00605C09" w:rsidP="00605C09">
      <w:pPr>
        <w:pStyle w:val="Standard"/>
        <w:ind w:left="10620"/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 главы администрации</w:t>
      </w:r>
      <w:r w:rsidR="00C71345">
        <w:rPr>
          <w:lang w:val="ru-RU"/>
        </w:rPr>
        <w:t xml:space="preserve"> города Югорска</w:t>
      </w:r>
    </w:p>
    <w:p w:rsidR="00C71345" w:rsidRDefault="00C71345" w:rsidP="00C71345">
      <w:pPr>
        <w:pStyle w:val="Standard"/>
        <w:rPr>
          <w:lang w:val="ru-RU"/>
        </w:rPr>
      </w:pPr>
    </w:p>
    <w:p w:rsidR="00C71345" w:rsidRDefault="00C71345" w:rsidP="00C71345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17D30">
        <w:rPr>
          <w:lang w:val="ru-RU"/>
        </w:rPr>
        <w:tab/>
      </w:r>
      <w:r w:rsidR="00417D30">
        <w:rPr>
          <w:lang w:val="ru-RU"/>
        </w:rPr>
        <w:tab/>
      </w:r>
      <w:r w:rsidR="00417D30">
        <w:rPr>
          <w:lang w:val="ru-RU"/>
        </w:rPr>
        <w:tab/>
      </w:r>
      <w:r w:rsidR="00417D30">
        <w:rPr>
          <w:lang w:val="ru-RU"/>
        </w:rPr>
        <w:tab/>
      </w:r>
      <w:r w:rsidR="00417D30">
        <w:rPr>
          <w:lang w:val="ru-RU"/>
        </w:rPr>
        <w:tab/>
      </w:r>
      <w:r w:rsidR="00417D30">
        <w:rPr>
          <w:lang w:val="ru-RU"/>
        </w:rPr>
        <w:tab/>
      </w:r>
      <w:r w:rsidR="00417D30">
        <w:rPr>
          <w:lang w:val="ru-RU"/>
        </w:rPr>
        <w:tab/>
      </w:r>
      <w:r w:rsidR="00417D30">
        <w:rPr>
          <w:lang w:val="ru-RU"/>
        </w:rPr>
        <w:tab/>
        <w:t xml:space="preserve">____________М.И. </w:t>
      </w:r>
      <w:proofErr w:type="spellStart"/>
      <w:r w:rsidR="00417D30">
        <w:rPr>
          <w:lang w:val="ru-RU"/>
        </w:rPr>
        <w:t>Бодак</w:t>
      </w:r>
      <w:proofErr w:type="spellEnd"/>
    </w:p>
    <w:p w:rsidR="00C71345" w:rsidRDefault="00C71345" w:rsidP="00C71345">
      <w:pPr>
        <w:pStyle w:val="Standard"/>
        <w:rPr>
          <w:lang w:val="ru-RU"/>
        </w:rPr>
      </w:pPr>
    </w:p>
    <w:p w:rsidR="00C71345" w:rsidRDefault="00C71345" w:rsidP="00C7134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C09">
        <w:rPr>
          <w:b/>
          <w:bCs/>
          <w:lang w:val="ru-RU"/>
        </w:rPr>
        <w:t>ОТЧЕТ</w:t>
      </w:r>
    </w:p>
    <w:p w:rsidR="00C71345" w:rsidRDefault="00605C09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864547">
        <w:rPr>
          <w:b/>
          <w:bCs/>
          <w:lang w:val="ru-RU"/>
        </w:rPr>
        <w:t xml:space="preserve"> Управления </w:t>
      </w:r>
      <w:r w:rsidR="00C71345">
        <w:rPr>
          <w:b/>
          <w:bCs/>
          <w:lang w:val="ru-RU"/>
        </w:rPr>
        <w:t xml:space="preserve"> опеки и попечительства</w:t>
      </w:r>
    </w:p>
    <w:p w:rsidR="00C71345" w:rsidRDefault="00605C09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3</w:t>
      </w:r>
      <w:r w:rsidR="00C71345">
        <w:rPr>
          <w:b/>
          <w:bCs/>
          <w:lang w:val="ru-RU"/>
        </w:rPr>
        <w:t xml:space="preserve">а </w:t>
      </w:r>
      <w:r w:rsidR="00172509">
        <w:rPr>
          <w:b/>
          <w:bCs/>
          <w:lang w:val="ru-RU"/>
        </w:rPr>
        <w:t>1</w:t>
      </w:r>
      <w:r w:rsidR="00C71345">
        <w:rPr>
          <w:b/>
          <w:bCs/>
          <w:lang w:val="ru-RU"/>
        </w:rPr>
        <w:t xml:space="preserve"> квартал 201</w:t>
      </w:r>
      <w:r w:rsidR="00172509">
        <w:rPr>
          <w:b/>
          <w:bCs/>
          <w:lang w:val="ru-RU"/>
        </w:rPr>
        <w:t>1</w:t>
      </w:r>
      <w:r w:rsidR="00C71345">
        <w:rPr>
          <w:b/>
          <w:bCs/>
          <w:lang w:val="ru-RU"/>
        </w:rPr>
        <w:t xml:space="preserve"> года</w:t>
      </w:r>
    </w:p>
    <w:p w:rsidR="00C71345" w:rsidRDefault="00C71345" w:rsidP="00C71345">
      <w:pPr>
        <w:pStyle w:val="Standard"/>
        <w:rPr>
          <w:lang w:val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851"/>
        <w:gridCol w:w="8022"/>
        <w:gridCol w:w="1583"/>
        <w:gridCol w:w="4820"/>
      </w:tblGrid>
      <w:tr w:rsidR="00864547" w:rsidTr="00864547">
        <w:tc>
          <w:tcPr>
            <w:tcW w:w="851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  <w:tc>
          <w:tcPr>
            <w:tcW w:w="4820" w:type="dxa"/>
            <w:hideMark/>
          </w:tcPr>
          <w:p w:rsidR="00864547" w:rsidRDefault="00417D3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(количествен</w:t>
            </w:r>
            <w:r w:rsidR="00864547">
              <w:rPr>
                <w:lang w:val="ru-RU"/>
              </w:rPr>
              <w:t>ный) качественный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Участие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125,00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125,0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ХМАО-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20.06.2006. № 60-оз: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</w:t>
            </w:r>
            <w:proofErr w:type="spellEnd"/>
            <w:r>
              <w:t xml:space="preserve"> </w:t>
            </w:r>
            <w:proofErr w:type="spellStart"/>
            <w:r>
              <w:t>государственным</w:t>
            </w:r>
            <w:proofErr w:type="spellEnd"/>
            <w:r>
              <w:t xml:space="preserve"> </w:t>
            </w:r>
            <w:proofErr w:type="spellStart"/>
            <w:r>
              <w:t>полномочием</w:t>
            </w:r>
            <w:proofErr w:type="spellEnd"/>
            <w:r>
              <w:t xml:space="preserve"> 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>.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>
              <w:t>:</w:t>
            </w:r>
          </w:p>
        </w:tc>
        <w:tc>
          <w:tcPr>
            <w:tcW w:w="1583" w:type="dxa"/>
            <w:hideMark/>
          </w:tcPr>
          <w:p w:rsidR="00864547" w:rsidRPr="005F4F01" w:rsidRDefault="00864547" w:rsidP="005E32EA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  <w:r w:rsidRPr="005F4F01">
              <w:rPr>
                <w:color w:val="000000" w:themeColor="text1"/>
                <w:lang w:val="ru-RU"/>
              </w:rPr>
              <w:t>15</w:t>
            </w:r>
            <w:r>
              <w:rPr>
                <w:color w:val="000000" w:themeColor="text1"/>
                <w:lang w:val="ru-RU"/>
              </w:rPr>
              <w:t>096,8</w:t>
            </w:r>
            <w:r w:rsidRPr="005F4F01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12536,5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166,81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12092,00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10684,0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1.6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r>
              <w:t xml:space="preserve">- </w:t>
            </w:r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 xml:space="preserve">, </w:t>
            </w:r>
            <w:proofErr w:type="spellStart"/>
            <w:r>
              <w:t>патронатным</w:t>
            </w:r>
            <w:proofErr w:type="spellEnd"/>
            <w:r>
              <w:t xml:space="preserve"> </w:t>
            </w:r>
            <w:proofErr w:type="spellStart"/>
            <w:r>
              <w:t>воспитателям</w:t>
            </w:r>
            <w:proofErr w:type="spellEnd"/>
            <w:r>
              <w:t xml:space="preserve">, </w:t>
            </w:r>
            <w:proofErr w:type="spellStart"/>
            <w:r>
              <w:t>воспитателям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>.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1627,00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1610,0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1211,00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242,4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r>
              <w:t xml:space="preserve">-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соответствующей</w:t>
            </w:r>
            <w:proofErr w:type="spellEnd"/>
            <w:r>
              <w:t xml:space="preserve"> </w:t>
            </w:r>
            <w:proofErr w:type="spellStart"/>
            <w:r>
              <w:t>компенсацией</w:t>
            </w:r>
            <w:proofErr w:type="spellEnd"/>
            <w:r>
              <w:t xml:space="preserve">),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>
              <w:t xml:space="preserve"> </w:t>
            </w:r>
            <w:proofErr w:type="spellStart"/>
            <w:r>
              <w:t>денежным</w:t>
            </w:r>
            <w:proofErr w:type="spellEnd"/>
            <w:r>
              <w:t xml:space="preserve"> </w:t>
            </w:r>
            <w:proofErr w:type="spellStart"/>
            <w:r>
              <w:t>пособием</w:t>
            </w:r>
            <w:proofErr w:type="spellEnd"/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r>
              <w:t xml:space="preserve">- </w:t>
            </w: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>.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311,00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207,3</w:t>
            </w:r>
          </w:p>
        </w:tc>
      </w:tr>
      <w:tr w:rsidR="00864547" w:rsidTr="00864547">
        <w:tc>
          <w:tcPr>
            <w:tcW w:w="851" w:type="dxa"/>
          </w:tcPr>
          <w:p w:rsidR="00864547" w:rsidRPr="0031107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r>
              <w:t xml:space="preserve">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900,00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ежегодное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и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домах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учебы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фактическим</w:t>
            </w:r>
            <w:proofErr w:type="spellEnd"/>
            <w:r>
              <w:t xml:space="preserve"> </w:t>
            </w:r>
            <w:proofErr w:type="spellStart"/>
            <w:r>
              <w:t>расходам</w:t>
            </w:r>
            <w:proofErr w:type="spellEnd"/>
            <w:r>
              <w:t>.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1.12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Федеральным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06.10.2003 г. № 131-ФЗ «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принципах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правами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отнесенных</w:t>
            </w:r>
            <w:proofErr w:type="spellEnd"/>
            <w:r>
              <w:t xml:space="preserve"> к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,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t>.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2372,6</w:t>
            </w:r>
          </w:p>
        </w:tc>
        <w:tc>
          <w:tcPr>
            <w:tcW w:w="4820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1723,0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583" w:type="dxa"/>
            <w:hideMark/>
          </w:tcPr>
          <w:p w:rsidR="00864547" w:rsidRDefault="00864547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17594,41</w:t>
            </w: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14384,5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 Организационная работа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Вопросы, вынесенные на рассмотрение заместителя главы города: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 w:rsidP="00A660E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организации оздоровления детей-сирот в весенний период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обеспечении жильем лиц из числа детей-сирот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реализации Программы «Семья и дети Югорска»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 повышении эффективности деятельности отдела в части реализации переданных отдельных государственных полномочий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повышении эффективности межведомственного взаимодействия по вопросу выявления и учета детей, права и законные интересы которых нарушены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рассмотрено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2.6.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организации Межведомственного опекунского совета по организации межведомственного взаимодействия по вопросам защиты прав и законных интересов совершеннолетних недееспособных граждан, граждан, ограниченных в дееспособности, а также граждан, которые по состоянию здоровья не способны самостоятельно осуществлять и защищать свои права и исполнять обязанности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рассмотрено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Организация мероприятий, проведение совещаний и т.п.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мероприятия клуба «Чуткая душа» к 23 февраля, 8 Марта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проведены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комиссии по защите прав и интересов подопечных и иных граждан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605C09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Проведены (еженедельно)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сбора отчетов опекунов о распоряжении имуществом подопечных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 w:rsidP="003F022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Принято119отчетов, направлено 6 протоколов в суд о привлечении опекунов  к административной ответственности за нарушение сроков сдачи отчетов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заседания Межведомственного опекунского совета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Перенесено на апрель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2.11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заседаний рабочей группы по реализации Комплекса мер по профилактике социального сиротства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 проект постановления о создании рабочей группы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Предоставление отчетности в Департамент социальной защиты населения: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 w:rsidP="009164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Списки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, с </w:t>
            </w:r>
            <w:proofErr w:type="spellStart"/>
            <w:r>
              <w:t>информацией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жильем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отчетную</w:t>
            </w:r>
            <w:proofErr w:type="spellEnd"/>
            <w:r>
              <w:t xml:space="preserve"> </w:t>
            </w:r>
            <w:proofErr w:type="spellStart"/>
            <w:r>
              <w:t>дату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направлены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Реестр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получение</w:t>
            </w:r>
            <w:proofErr w:type="spellEnd"/>
            <w:r>
              <w:t xml:space="preserve"> </w:t>
            </w:r>
            <w:proofErr w:type="spellStart"/>
            <w:r>
              <w:t>вне</w:t>
            </w:r>
            <w:proofErr w:type="spellEnd"/>
            <w:r>
              <w:t xml:space="preserve"> </w:t>
            </w:r>
            <w:proofErr w:type="spellStart"/>
            <w:r>
              <w:t>очереди</w:t>
            </w:r>
            <w:proofErr w:type="spellEnd"/>
            <w:r>
              <w:t xml:space="preserve"> </w:t>
            </w:r>
            <w:proofErr w:type="spellStart"/>
            <w:r>
              <w:t>жилое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2010-202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Запрос</w:t>
            </w:r>
            <w:proofErr w:type="spellEnd"/>
            <w:r>
              <w:t xml:space="preserve"> о </w:t>
            </w:r>
            <w:proofErr w:type="spellStart"/>
            <w:r>
              <w:t>котировке</w:t>
            </w:r>
            <w:proofErr w:type="spellEnd"/>
            <w:r>
              <w:t xml:space="preserve"> </w:t>
            </w:r>
            <w:proofErr w:type="spellStart"/>
            <w:r>
              <w:t>объемов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(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 составлялся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 xml:space="preserve"> (</w:t>
            </w:r>
            <w:proofErr w:type="spellStart"/>
            <w:r>
              <w:t>приобретение</w:t>
            </w:r>
            <w:proofErr w:type="spellEnd"/>
            <w:r>
              <w:t>/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  <w:r>
              <w:t>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 составлялся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параметрах</w:t>
            </w:r>
            <w:proofErr w:type="spellEnd"/>
            <w:r>
              <w:t xml:space="preserve"> 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улучшению</w:t>
            </w:r>
            <w:proofErr w:type="spellEnd"/>
            <w:r>
              <w:t xml:space="preserve"> </w:t>
            </w:r>
            <w:proofErr w:type="spellStart"/>
            <w:r>
              <w:t>демографической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 (</w:t>
            </w:r>
            <w:proofErr w:type="spellStart"/>
            <w:r>
              <w:t>форма</w:t>
            </w:r>
            <w:proofErr w:type="spellEnd"/>
            <w:r>
              <w:t xml:space="preserve"> Д-</w:t>
            </w:r>
            <w:proofErr w:type="spellStart"/>
            <w:r>
              <w:t>обр</w:t>
            </w:r>
            <w:proofErr w:type="spellEnd"/>
            <w:r>
              <w:t>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3.8.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9164F8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(</w:t>
            </w:r>
            <w:proofErr w:type="spellStart"/>
            <w:r>
              <w:t>попечителей</w:t>
            </w:r>
            <w:proofErr w:type="spellEnd"/>
            <w:r>
              <w:t xml:space="preserve">) и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Принято 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jc w:val="center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, </w:t>
            </w:r>
            <w:proofErr w:type="spellStart"/>
            <w:r>
              <w:t>связанных</w:t>
            </w:r>
            <w:proofErr w:type="spellEnd"/>
            <w:r>
              <w:t xml:space="preserve"> с </w:t>
            </w:r>
            <w:proofErr w:type="spellStart"/>
            <w:r>
              <w:t>выплатой</w:t>
            </w:r>
            <w:proofErr w:type="spellEnd"/>
            <w:r>
              <w:t xml:space="preserve"> </w:t>
            </w:r>
            <w:proofErr w:type="spellStart"/>
            <w:r>
              <w:t>единовременных</w:t>
            </w:r>
            <w:proofErr w:type="spellEnd"/>
            <w:r>
              <w:t xml:space="preserve"> </w:t>
            </w:r>
            <w:proofErr w:type="spellStart"/>
            <w:r>
              <w:t>пособий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формах</w:t>
            </w:r>
            <w:proofErr w:type="spellEnd"/>
            <w:r>
              <w:t xml:space="preserve"> </w:t>
            </w:r>
            <w:proofErr w:type="spellStart"/>
            <w:r>
              <w:t>устройства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лишенных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в </w:t>
            </w:r>
            <w:proofErr w:type="spellStart"/>
            <w:r>
              <w:t>семью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использовании</w:t>
            </w:r>
            <w:proofErr w:type="spellEnd"/>
            <w:r>
              <w:t xml:space="preserve"> </w:t>
            </w:r>
            <w:proofErr w:type="spellStart"/>
            <w:r>
              <w:t>бюджетной</w:t>
            </w:r>
            <w:proofErr w:type="spellEnd"/>
            <w:r>
              <w:t xml:space="preserve"> </w:t>
            </w:r>
            <w:proofErr w:type="spellStart"/>
            <w:r>
              <w:t>росписи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Запрос</w:t>
            </w:r>
            <w:proofErr w:type="spellEnd"/>
            <w:r>
              <w:t xml:space="preserve"> о </w:t>
            </w:r>
            <w:proofErr w:type="spellStart"/>
            <w:r>
              <w:t>корректировке</w:t>
            </w:r>
            <w:proofErr w:type="spellEnd"/>
            <w:r>
              <w:t xml:space="preserve"> </w:t>
            </w:r>
            <w:proofErr w:type="spellStart"/>
            <w:r>
              <w:t>объемов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(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 требуется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выполнении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t xml:space="preserve">, </w:t>
            </w:r>
            <w:proofErr w:type="spellStart"/>
            <w:r>
              <w:t>переданных</w:t>
            </w:r>
            <w:proofErr w:type="spellEnd"/>
            <w:r>
              <w:t xml:space="preserve"> в </w:t>
            </w:r>
            <w:proofErr w:type="spellStart"/>
            <w:r>
              <w:t>виде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полномочий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3.14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lastRenderedPageBreak/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, </w:t>
            </w:r>
            <w:proofErr w:type="spellStart"/>
            <w:r>
              <w:t>изменения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дополнения</w:t>
            </w:r>
            <w:proofErr w:type="spellEnd"/>
            <w:r>
              <w:t xml:space="preserve">, </w:t>
            </w:r>
            <w:proofErr w:type="spellStart"/>
            <w:r>
              <w:t>прекращения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  <w:p w:rsidR="00864547" w:rsidRDefault="00864547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2, 3, 4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25.02.2010 № 1)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подготовлены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3.15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Информацию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вновь</w:t>
            </w:r>
            <w:proofErr w:type="spellEnd"/>
            <w:r>
              <w:t xml:space="preserve"> </w:t>
            </w:r>
            <w:proofErr w:type="spellStart"/>
            <w:r>
              <w:t>выявленных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дееспособных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</w:p>
          <w:p w:rsidR="00864547" w:rsidRDefault="00864547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10.03.2010 № 2)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3.16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  <w:p w:rsidR="00864547" w:rsidRDefault="00864547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1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09.11.2009 № 492)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3.17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трудной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лицах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,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жизнеустройстве</w:t>
            </w:r>
            <w:proofErr w:type="spellEnd"/>
          </w:p>
          <w:p w:rsidR="00864547" w:rsidRDefault="00864547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2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09.11.2009 № 492)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3.18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кассового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, </w:t>
            </w:r>
            <w:proofErr w:type="spellStart"/>
            <w:r>
              <w:t>предоставляемых</w:t>
            </w:r>
            <w:proofErr w:type="spellEnd"/>
            <w:r>
              <w:t xml:space="preserve"> </w:t>
            </w:r>
            <w:proofErr w:type="spellStart"/>
            <w:r>
              <w:t>органами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3.19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Ежемесячный</w:t>
            </w:r>
            <w:proofErr w:type="spellEnd"/>
            <w:r>
              <w:t xml:space="preserve"> 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расходовании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3.20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Заявка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финансирование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</w:pPr>
            <w:proofErr w:type="spellStart"/>
            <w:r>
              <w:t>Информация</w:t>
            </w:r>
            <w:proofErr w:type="spellEnd"/>
            <w:r>
              <w:t xml:space="preserve"> о </w:t>
            </w:r>
            <w:proofErr w:type="spellStart"/>
            <w:r>
              <w:t>размере</w:t>
            </w:r>
            <w:proofErr w:type="spellEnd"/>
            <w:r>
              <w:t xml:space="preserve">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выплат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Сверка</w:t>
            </w:r>
            <w:proofErr w:type="spellEnd"/>
            <w:r>
              <w:t xml:space="preserve"> </w:t>
            </w:r>
            <w:proofErr w:type="spellStart"/>
            <w:r>
              <w:t>поступивших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,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законные</w:t>
            </w:r>
            <w:proofErr w:type="spellEnd"/>
            <w:r>
              <w:t xml:space="preserve"> </w:t>
            </w:r>
            <w:proofErr w:type="spellStart"/>
            <w:r>
              <w:t>интересы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нарушены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232 – п </w:t>
            </w:r>
            <w:proofErr w:type="spellStart"/>
            <w:r>
              <w:t>от</w:t>
            </w:r>
            <w:proofErr w:type="spellEnd"/>
            <w:r>
              <w:t xml:space="preserve"> 02.09.2009)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 </w:t>
            </w:r>
            <w:proofErr w:type="spellStart"/>
            <w:r>
              <w:t>мигрантов</w:t>
            </w:r>
            <w:proofErr w:type="spellEnd"/>
            <w:r>
              <w:t xml:space="preserve">, </w:t>
            </w:r>
            <w:proofErr w:type="spellStart"/>
            <w:r>
              <w:t>проживающих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направлены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3.24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лечебно-профилактических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совершеннолетних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ограниченных</w:t>
            </w:r>
            <w:proofErr w:type="spellEnd"/>
            <w:r>
              <w:t xml:space="preserve"> в </w:t>
            </w:r>
            <w:proofErr w:type="spellStart"/>
            <w:r>
              <w:t>дееспособности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 </w:t>
            </w:r>
            <w:proofErr w:type="spellStart"/>
            <w:r>
              <w:t>нуждающихся</w:t>
            </w:r>
            <w:proofErr w:type="spellEnd"/>
            <w:r>
              <w:t xml:space="preserve"> в </w:t>
            </w:r>
            <w:proofErr w:type="spellStart"/>
            <w:r>
              <w:t>решении</w:t>
            </w:r>
            <w:proofErr w:type="spellEnd"/>
            <w:r>
              <w:t xml:space="preserve"> </w:t>
            </w:r>
            <w:proofErr w:type="spellStart"/>
            <w:r>
              <w:t>вопроса</w:t>
            </w:r>
            <w:proofErr w:type="spellEnd"/>
            <w:r>
              <w:t xml:space="preserve"> о </w:t>
            </w:r>
            <w:proofErr w:type="spellStart"/>
            <w:r>
              <w:t>признании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недееспособными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состоянию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исполнять</w:t>
            </w:r>
            <w:proofErr w:type="spellEnd"/>
            <w:r>
              <w:t xml:space="preserve"> </w:t>
            </w:r>
            <w:proofErr w:type="spellStart"/>
            <w:r>
              <w:t>обязанности</w:t>
            </w:r>
            <w:proofErr w:type="spellEnd"/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направлены</w:t>
            </w:r>
          </w:p>
        </w:tc>
      </w:tr>
      <w:tr w:rsidR="00864547" w:rsidTr="00864547">
        <w:tc>
          <w:tcPr>
            <w:tcW w:w="851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3.25</w:t>
            </w: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Отчет о защите имущественных прав детей-сирот и детей, оставшихся без попечения родителей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Pr="004C27CF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3.26</w:t>
            </w:r>
          </w:p>
        </w:tc>
        <w:tc>
          <w:tcPr>
            <w:tcW w:w="8022" w:type="dxa"/>
            <w:hideMark/>
          </w:tcPr>
          <w:p w:rsidR="00864547" w:rsidRPr="004C27CF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Реестр недееспособных и не полностью дееспособных граждан, проживающих на территории </w:t>
            </w:r>
            <w:proofErr w:type="spellStart"/>
            <w:r>
              <w:rPr>
                <w:lang w:val="ru-RU"/>
              </w:rPr>
              <w:t>ХМАО-Югры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3.27</w:t>
            </w:r>
          </w:p>
        </w:tc>
        <w:tc>
          <w:tcPr>
            <w:tcW w:w="8022" w:type="dxa"/>
            <w:hideMark/>
          </w:tcPr>
          <w:p w:rsidR="00864547" w:rsidRPr="00311078" w:rsidRDefault="00864547" w:rsidP="00311078">
            <w:pPr>
              <w:rPr>
                <w:rFonts w:cs="Times New Roman"/>
                <w:lang w:val="ru-RU"/>
              </w:rPr>
            </w:pPr>
            <w:proofErr w:type="spellStart"/>
            <w:r w:rsidRPr="00311078">
              <w:rPr>
                <w:rFonts w:cs="Times New Roman"/>
              </w:rPr>
              <w:t>Сведения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детях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из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семей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мигрантов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проживающих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муниципального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образования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данные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учтены</w:t>
            </w:r>
            <w:proofErr w:type="spellEnd"/>
            <w:r w:rsidRPr="00311078">
              <w:rPr>
                <w:rFonts w:cs="Times New Roman"/>
              </w:rPr>
              <w:t xml:space="preserve"> в </w:t>
            </w:r>
            <w:proofErr w:type="spellStart"/>
            <w:r w:rsidRPr="00311078">
              <w:rPr>
                <w:rFonts w:cs="Times New Roman"/>
              </w:rPr>
              <w:t>органах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исполнение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Постановления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Правительства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lastRenderedPageBreak/>
              <w:t>от</w:t>
            </w:r>
            <w:proofErr w:type="spellEnd"/>
            <w:r w:rsidRPr="00311078">
              <w:rPr>
                <w:rFonts w:cs="Times New Roman"/>
              </w:rPr>
              <w:t xml:space="preserve"> 02.09.2009 № 232-п</w:t>
            </w:r>
            <w:r>
              <w:rPr>
                <w:rFonts w:cs="Times New Roman"/>
              </w:rPr>
              <w:t xml:space="preserve"> </w:t>
            </w:r>
            <w:r w:rsidRPr="00311078">
              <w:rPr>
                <w:rFonts w:cs="Times New Roman"/>
              </w:rPr>
              <w:t xml:space="preserve">«О </w:t>
            </w:r>
            <w:proofErr w:type="spellStart"/>
            <w:r w:rsidRPr="00311078">
              <w:rPr>
                <w:rFonts w:cs="Times New Roman"/>
              </w:rPr>
              <w:t>порядке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организации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Ханты-Мансийского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– </w:t>
            </w:r>
            <w:proofErr w:type="spellStart"/>
            <w:r w:rsidRPr="00311078">
              <w:rPr>
                <w:rFonts w:cs="Times New Roman"/>
              </w:rPr>
              <w:t>Югры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органами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деятельности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выявлению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учету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детей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права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законные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интересы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нарушены</w:t>
            </w:r>
            <w:proofErr w:type="spellEnd"/>
            <w:r w:rsidRPr="00311078">
              <w:rPr>
                <w:rFonts w:cs="Times New Roman"/>
              </w:rPr>
              <w:t>»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направлены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3.28</w:t>
            </w:r>
          </w:p>
        </w:tc>
        <w:tc>
          <w:tcPr>
            <w:tcW w:w="8022" w:type="dxa"/>
            <w:hideMark/>
          </w:tcPr>
          <w:p w:rsidR="00864547" w:rsidRPr="00311078" w:rsidRDefault="00864547" w:rsidP="00311078">
            <w:r>
              <w:rPr>
                <w:lang w:val="ru-RU"/>
              </w:rPr>
              <w:t xml:space="preserve">Отчет </w:t>
            </w:r>
            <w:r w:rsidRPr="00311078">
              <w:t xml:space="preserve">о </w:t>
            </w:r>
            <w:proofErr w:type="spellStart"/>
            <w:r w:rsidRPr="00311078">
              <w:t>самовольных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уходах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подопечных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из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семей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11078">
              <w:t>отдел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опеки</w:t>
            </w:r>
            <w:proofErr w:type="spellEnd"/>
            <w:r w:rsidRPr="00311078">
              <w:t xml:space="preserve"> и </w:t>
            </w:r>
            <w:proofErr w:type="spellStart"/>
            <w:r w:rsidRPr="00311078">
              <w:t>попечительства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администрации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города</w:t>
            </w:r>
            <w:proofErr w:type="spellEnd"/>
            <w:r w:rsidRPr="00311078">
              <w:t xml:space="preserve"> Югорска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направлен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r>
              <w:rPr>
                <w:i/>
                <w:iCs/>
                <w:lang w:val="ru-RU"/>
              </w:rPr>
              <w:t xml:space="preserve">Предоставление отчетов в прокуратуру, </w:t>
            </w:r>
            <w:proofErr w:type="spellStart"/>
            <w:r>
              <w:rPr>
                <w:i/>
                <w:iCs/>
                <w:lang w:val="ru-RU"/>
              </w:rPr>
              <w:t>КДНиЗП</w:t>
            </w:r>
            <w:proofErr w:type="spellEnd"/>
            <w:r>
              <w:rPr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lang w:val="ru-RU"/>
              </w:rPr>
              <w:t>юрид</w:t>
            </w:r>
            <w:proofErr w:type="spellEnd"/>
            <w:r>
              <w:rPr>
                <w:i/>
                <w:iCs/>
                <w:lang w:val="ru-RU"/>
              </w:rPr>
              <w:t>. управление и др</w:t>
            </w:r>
            <w:r>
              <w:rPr>
                <w:lang w:val="ru-RU"/>
              </w:rPr>
              <w:t>.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3.30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органами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и </w:t>
            </w:r>
            <w:proofErr w:type="spellStart"/>
            <w:r>
              <w:t>попечительства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>. 16 ФЗ № 120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составлены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плане мероприятий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реализации мероприятий Комплексного плана (Основные положения Послания Губернатора)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План работы на квартал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3.34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об исполнении плана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3.35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 принятых нормативно-правовых актах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подготовлен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3.36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Анализ актов контрольного обследования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 проведен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3.37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Контроль по пенсионному обеспечению, выплате алиментов, сохранностью имущества подопечных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проводится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3.38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работе социального патруля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 выезда</w:t>
            </w:r>
          </w:p>
        </w:tc>
      </w:tr>
      <w:tr w:rsidR="00864547" w:rsidTr="00864547">
        <w:tc>
          <w:tcPr>
            <w:tcW w:w="851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3.39</w:t>
            </w: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рейдах с судебными приставами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3.40</w:t>
            </w:r>
          </w:p>
        </w:tc>
        <w:tc>
          <w:tcPr>
            <w:tcW w:w="8022" w:type="dxa"/>
            <w:hideMark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суде в защиту прав и законных интересов подопечных и иных граждан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 процессов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деятельностью опекунов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42 </w:t>
            </w:r>
            <w:proofErr w:type="gramStart"/>
            <w:r>
              <w:rPr>
                <w:lang w:val="ru-RU"/>
              </w:rPr>
              <w:t>плановых</w:t>
            </w:r>
            <w:proofErr w:type="gramEnd"/>
            <w:r>
              <w:rPr>
                <w:lang w:val="ru-RU"/>
              </w:rPr>
              <w:t xml:space="preserve"> акта и 10 внеплановых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>
              <w:rPr>
                <w:lang w:val="ru-RU"/>
              </w:rPr>
              <w:t>/с</w:t>
            </w:r>
          </w:p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 плановых по недееспособным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Формирование личных дел подопечных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личных дел подопечных к хранению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дела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3.44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информационной кампании по пропаганде семейных форм устройства и профилактике социального сиротства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Норд, Контекст (о службе сопровождения, опыте приемных родителей Михайловых)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3.45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Размещение информации на официальном сайте администрации города и </w:t>
            </w:r>
            <w:r>
              <w:rPr>
                <w:lang w:val="ru-RU"/>
              </w:rPr>
              <w:lastRenderedPageBreak/>
              <w:t>административном сайте о деятельности отдела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Положение о </w:t>
            </w:r>
            <w:proofErr w:type="gramStart"/>
            <w:r>
              <w:rPr>
                <w:lang w:val="ru-RU"/>
              </w:rPr>
              <w:t>межведомственном</w:t>
            </w:r>
            <w:proofErr w:type="gramEnd"/>
          </w:p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Опекунском </w:t>
            </w:r>
            <w:proofErr w:type="gramStart"/>
            <w:r>
              <w:rPr>
                <w:lang w:val="ru-RU"/>
              </w:rPr>
              <w:t>совете</w:t>
            </w:r>
            <w:proofErr w:type="gramEnd"/>
            <w:r>
              <w:rPr>
                <w:lang w:val="ru-RU"/>
              </w:rPr>
              <w:t>,</w:t>
            </w:r>
          </w:p>
          <w:p w:rsidR="00864547" w:rsidRPr="003F0226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Социальном </w:t>
            </w:r>
            <w:proofErr w:type="gramStart"/>
            <w:r>
              <w:rPr>
                <w:lang w:val="ru-RU"/>
              </w:rPr>
              <w:t>патруле</w:t>
            </w:r>
            <w:proofErr w:type="gramEnd"/>
            <w:r>
              <w:rPr>
                <w:lang w:val="ru-RU"/>
              </w:rPr>
              <w:t>, информация о детях, изменения в законодательстве ит.д.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 Совершенствование профессионального мастерства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Default="00864547">
            <w:pPr>
              <w:pStyle w:val="TableContents"/>
            </w:pP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специалистами законодательства, нормативных актов с кратким сообщением на внутренних планерках по установленному графику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специалистами справочной информации для опекунов, подопечных, усыновителей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Разработано 2 буклета</w:t>
            </w:r>
          </w:p>
        </w:tc>
      </w:tr>
      <w:tr w:rsidR="00864547" w:rsidTr="00864547"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:rsidR="00864547" w:rsidRDefault="008645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специалистами опыта работы органов опеки и попечительства автономного округа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Знакомство с работой коллег городов </w:t>
            </w:r>
            <w:proofErr w:type="spellStart"/>
            <w:r>
              <w:rPr>
                <w:lang w:val="ru-RU"/>
              </w:rPr>
              <w:t>Нягани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Урая</w:t>
            </w:r>
            <w:proofErr w:type="spellEnd"/>
          </w:p>
        </w:tc>
      </w:tr>
      <w:tr w:rsidR="00864547" w:rsidTr="00864547">
        <w:trPr>
          <w:trHeight w:val="432"/>
        </w:trPr>
        <w:tc>
          <w:tcPr>
            <w:tcW w:w="851" w:type="dxa"/>
          </w:tcPr>
          <w:p w:rsidR="00864547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4.4.</w:t>
            </w:r>
          </w:p>
        </w:tc>
        <w:tc>
          <w:tcPr>
            <w:tcW w:w="8022" w:type="dxa"/>
            <w:hideMark/>
          </w:tcPr>
          <w:p w:rsidR="00864547" w:rsidRDefault="008645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и реализация индивидуальных планов развития специалистов, состоящих в кадровом резерве</w:t>
            </w:r>
          </w:p>
        </w:tc>
        <w:tc>
          <w:tcPr>
            <w:tcW w:w="1583" w:type="dxa"/>
          </w:tcPr>
          <w:p w:rsidR="00864547" w:rsidRDefault="00864547">
            <w:pPr>
              <w:pStyle w:val="TableContents"/>
            </w:pPr>
          </w:p>
        </w:tc>
        <w:tc>
          <w:tcPr>
            <w:tcW w:w="4820" w:type="dxa"/>
          </w:tcPr>
          <w:p w:rsidR="00864547" w:rsidRPr="00FE08EC" w:rsidRDefault="008645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реализуются</w:t>
            </w:r>
          </w:p>
        </w:tc>
      </w:tr>
    </w:tbl>
    <w:p w:rsidR="00C71345" w:rsidRDefault="00C71345" w:rsidP="00C71345">
      <w:pPr>
        <w:pStyle w:val="Standard"/>
        <w:rPr>
          <w:lang w:val="ru-RU"/>
        </w:rPr>
      </w:pPr>
    </w:p>
    <w:p w:rsidR="00C71345" w:rsidRDefault="00C71345" w:rsidP="00C71345">
      <w:pPr>
        <w:pStyle w:val="Standard"/>
        <w:rPr>
          <w:lang w:val="ru-RU"/>
        </w:rPr>
      </w:pPr>
    </w:p>
    <w:p w:rsidR="00C71345" w:rsidRDefault="00C71345" w:rsidP="00C71345">
      <w:pPr>
        <w:pStyle w:val="Standard"/>
        <w:rPr>
          <w:lang w:val="ru-RU"/>
        </w:rPr>
      </w:pPr>
    </w:p>
    <w:p w:rsidR="00A8129D" w:rsidRDefault="00864547" w:rsidP="00C71345">
      <w:r>
        <w:rPr>
          <w:b/>
          <w:bCs/>
          <w:kern w:val="0"/>
          <w:lang w:val="ru-RU"/>
        </w:rPr>
        <w:t>Начальник управления</w:t>
      </w:r>
      <w:r w:rsidR="00C71345">
        <w:rPr>
          <w:b/>
          <w:bCs/>
          <w:kern w:val="0"/>
          <w:lang w:val="ru-RU"/>
        </w:rPr>
        <w:t xml:space="preserve"> опеки и </w:t>
      </w:r>
      <w:r>
        <w:rPr>
          <w:b/>
          <w:bCs/>
          <w:kern w:val="0"/>
          <w:lang w:val="ru-RU"/>
        </w:rPr>
        <w:t>попечительства</w:t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 w:rsidR="00C71345">
        <w:rPr>
          <w:b/>
          <w:bCs/>
          <w:kern w:val="0"/>
          <w:lang w:val="ru-RU"/>
        </w:rPr>
        <w:tab/>
        <w:t xml:space="preserve">Е.В. </w:t>
      </w:r>
      <w:proofErr w:type="spellStart"/>
      <w:r w:rsidR="00C71345">
        <w:rPr>
          <w:b/>
          <w:bCs/>
          <w:kern w:val="0"/>
          <w:lang w:val="ru-RU"/>
        </w:rPr>
        <w:t>Быстрова</w:t>
      </w:r>
      <w:proofErr w:type="spellEnd"/>
    </w:p>
    <w:sectPr w:rsidR="00A8129D" w:rsidSect="0031107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45"/>
    <w:rsid w:val="000A0216"/>
    <w:rsid w:val="00172509"/>
    <w:rsid w:val="0020613D"/>
    <w:rsid w:val="00276BB3"/>
    <w:rsid w:val="00286F82"/>
    <w:rsid w:val="00311078"/>
    <w:rsid w:val="00367FCD"/>
    <w:rsid w:val="003F0226"/>
    <w:rsid w:val="00417D30"/>
    <w:rsid w:val="0047653C"/>
    <w:rsid w:val="00492281"/>
    <w:rsid w:val="004C27CF"/>
    <w:rsid w:val="005B6FE9"/>
    <w:rsid w:val="005E32EA"/>
    <w:rsid w:val="005F4F01"/>
    <w:rsid w:val="00605C09"/>
    <w:rsid w:val="00640B69"/>
    <w:rsid w:val="00694CCB"/>
    <w:rsid w:val="00864547"/>
    <w:rsid w:val="008669C6"/>
    <w:rsid w:val="009164F8"/>
    <w:rsid w:val="00A660E4"/>
    <w:rsid w:val="00A8129D"/>
    <w:rsid w:val="00C71345"/>
    <w:rsid w:val="00E97C31"/>
    <w:rsid w:val="00F80456"/>
    <w:rsid w:val="00FE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71345"/>
    <w:pPr>
      <w:suppressLineNumbers/>
    </w:pPr>
  </w:style>
  <w:style w:type="table" w:styleId="a3">
    <w:name w:val="Table Grid"/>
    <w:basedOn w:val="a1"/>
    <w:uiPriority w:val="59"/>
    <w:rsid w:val="0064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Bistrova_EV</cp:lastModifiedBy>
  <cp:revision>16</cp:revision>
  <cp:lastPrinted>2011-04-01T09:24:00Z</cp:lastPrinted>
  <dcterms:created xsi:type="dcterms:W3CDTF">2010-09-30T11:40:00Z</dcterms:created>
  <dcterms:modified xsi:type="dcterms:W3CDTF">2011-04-01T09:26:00Z</dcterms:modified>
</cp:coreProperties>
</file>